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bookmarkStart w:id="0" w:name="_GoBack"/>
      <w:r>
        <w:rPr>
          <w:rFonts w:cs="Times New Roman" w:ascii="Times New Roman" w:hAnsi="Times New Roman"/>
          <w:b/>
          <w:sz w:val="20"/>
          <w:szCs w:val="20"/>
        </w:rPr>
        <w:t>Приложение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>Предварительная 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>на обучение уполномоченных работников, должностных лиц в области ГО и защиты от ЧС от</w:t>
      </w:r>
    </w:p>
    <w:tbl>
      <w:tblPr>
        <w:tblStyle w:val="aff4"/>
        <w:tblW w:w="144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445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ru-RU" w:bidi="ar-SA"/>
              </w:rPr>
              <w:t>(наименование исполнительного органа Мурманской области, муниципального образования или сокращённое наименование организации)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>в УМЦ по ГО и ЧС ГОКУ «Управление по ГОЧС и ПБ Мурманской области» в 2024 учебном году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tbl>
      <w:tblPr>
        <w:tblStyle w:val="aff4"/>
        <w:tblW w:w="146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6458"/>
        <w:gridCol w:w="6604"/>
        <w:gridCol w:w="1058"/>
      </w:tblGrid>
      <w:tr>
        <w:trPr>
          <w:tblHeader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Категория обучаемых (направление обучения)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Информация о потребности в обучении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 подведомственным организациям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(организациям в муниципальном образовании)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(построчно: сокращённое наименование организации (с указанием муниципального образования, если отличается от основного местоположения организации) – количество человек)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Общее кол-во человек</w:t>
            </w:r>
          </w:p>
        </w:tc>
      </w:tr>
      <w:tr>
        <w:trPr>
          <w:trHeight w:val="441" w:hRule="atLeast"/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Должностные лица местного самоуправления, возглавляющие местные администрации (исполнительно-распорядительные органы) муниципальных образований 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 организаций, отнесённых в установленном порядке к категориям по ГО, а также организаций, продолжающих работу в военное время и руководители организаций, в полномочия которых входит решение вопросов по защите населения и территорий от ЧС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 прочих организаций (кроме указанных в пункте 2)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Работники структурных подразделений органов местного самоуправления, уполномоченных на решение задач в области ГО, а также руководитель и работники органов, создаваемых при органах местного самоуправления, специально уполномоченных на решение задач в области защиты населения и территорий от ЧС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Работники структурных подразделений организаций, уполномоченных на решение задач в областях ГО и защиты населения и территорий от ЧС (уполномоченные работники) 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Лица, осуществляющие в организациях функцию по подготовке работников организации в области ГО и защиты от ЧС (проведение инструктажей, занятий по месту работы; кроме уполномоченных работников, указанных в пунктах 4 и 5)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 спасательных служб, нештатных формирований по обеспечению выполнения мероприятий по ГО, НАСФ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Члены КЧС и ОПБ Мурманской области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Председатели и члены КЧС и ОПБ исполнительных органов государственной власти Мурманской области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Председатели и члены КЧС и ОПБ муниципальных образований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Председатели и члены КЧС и ОПБ организаций, в полномочия которых входит решение вопросов по защите населения и территорий от ЧС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 комиссии по ПУФ организаций в Мурманской области в ЧС природного и техногенного характера и в военное время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комиссий по ПУФ территориальных органов федеральных органов исполнительной власти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комиссий по ПУФ органов государственной власти Мурманской области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комиссий по ПУФ органов местного самоуправления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комиссий по ПУФ организаций, отнесённых к категории по ГО, а также продолжающих работу в военное время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 эвакуационной комиссии Мурманской области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эвакуационных комиссий органов государственной власти Мурманской области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эвакоприёмных комиссий, сборных и приёмных эвакуационных пунктов, промежуточных пунктов эвакуации, ПВР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 и работники (лица, в функциональные обязанности которых входит деятельность в области защиты населения и территорий от ЧС) организаций (подразделений) территориальных органов федеральных органов исполнительной власти, обеспечивающих деятельность этих органов в области защиты населения и территорий от ЧС, управления силами и средствами, предназначенных и привлекаемых для предупреждения и ликвидации ЧС, осуществления обмена информацией и оповещения населения о ЧС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 и работники (лица, в функциональные обязанности которых входит деятельность в области защиты населения и территорий от ЧС) организаций (подразделений) органов исполнительной власти Мурманской области, обеспечивающих деятельность этих органов в области защиты населения и территорий от ЧС, управления силами и средствами, предназначенных и привлекаемых для предупреждения и ликвидации ЧС, осуществления обмена информацией и оповещения населения о ЧС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 и работники (лица, в функциональные обязанности которых входит деятельность в области защиты населения и территорий от ЧС) ЕДДС муниципальных образований Мурманской области, подведомственных органам местного самоуправления, ДДС экстренных оперативных служб, а также других организаций (подразделений), обеспечивающих деятельность органов местного самоуправления в области защиты населения и территорий от ЧС, управления силами и средствами, предназначенных и привлекаемых для предупреждения и ликвидации ЧС, осуществления обмена информацией и оповещения населения о ЧС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Руководитель и работники (лица, в функциональные обязанности которых входит деятельность в области защиты населения и территорий от ЧС) органов повседневного управления РСЧС организаций, обеспечивающих их деятельность в области защиты населения и территорий от ЧС, управления силами и средствами, предназначенных и привлекаемых для предупреждения и ликвидации ЧС, осуществления обмена информацией и оповещения населения о ЧС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Руководители, педагогические работники и инструкторы ГО курсов ГО муниципальных образований, других организаций муниципальных образований, в которых осуществляется курсовое обучение должностных лиц и работников ГО соответствующего уровня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Руководители, инструкторы ГО либо консультанты учебно-консультационных пунктов муниципальных образований, других организаций муниципальных образований, в которых осуществляется оказание населению консультационных услуг в области ГО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Лица, в должностные обязанности которых входит приём и обработка вызовов и сообщений (обращений) в рамках системы обеспечения вызова экстренных оперативных служб по единому номеру «112» (системы-112) Мурманской области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Работники, привлекаемые к охране учреждений и организаций по вопросам антитеррористической защищённости (за исключением сотрудников специализированных охранных предприятий)</w:t>
            </w:r>
          </w:p>
        </w:tc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6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Всего подлежит обучению:</w:t>
            </w:r>
          </w:p>
        </w:tc>
        <w:tc>
          <w:tcPr>
            <w:tcW w:w="7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" w:after="1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18"/>
          <w:szCs w:val="18"/>
        </w:rPr>
        <w:t xml:space="preserve">Примечание: не изменяйте структуру таблицы и не удаляйте какие-либо элементы таблицы; Вы можете удалить только неиспользованные строки, оставив сквозную нумерацию. Подробнее – на </w:t>
      </w:r>
      <w:hyperlink r:id="rId2" w:tgtFrame="https://umc.murman01.ru/-/pz">
        <w:r>
          <w:rPr>
            <w:rStyle w:val="-"/>
            <w:rFonts w:cs="Times New Roman" w:ascii="Times New Roman" w:hAnsi="Times New Roman"/>
            <w:sz w:val="18"/>
            <w:szCs w:val="18"/>
            <w:lang w:val="en-US"/>
          </w:rPr>
          <w:t>https</w:t>
        </w:r>
        <w:r>
          <w:rPr>
            <w:rStyle w:val="-"/>
            <w:rFonts w:cs="Times New Roman" w:ascii="Times New Roman" w:hAnsi="Times New Roman"/>
            <w:sz w:val="18"/>
            <w:szCs w:val="18"/>
          </w:rPr>
          <w:t>://</w:t>
        </w:r>
        <w:r>
          <w:rPr>
            <w:rStyle w:val="-"/>
            <w:rFonts w:cs="Times New Roman" w:ascii="Times New Roman" w:hAnsi="Times New Roman"/>
            <w:sz w:val="18"/>
            <w:szCs w:val="18"/>
            <w:lang w:val="en-US"/>
          </w:rPr>
          <w:t>umc</w:t>
        </w:r>
        <w:r>
          <w:rPr>
            <w:rStyle w:val="-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-"/>
            <w:rFonts w:cs="Times New Roman" w:ascii="Times New Roman" w:hAnsi="Times New Roman"/>
            <w:sz w:val="18"/>
            <w:szCs w:val="18"/>
            <w:lang w:val="en-US"/>
          </w:rPr>
          <w:t>murman</w:t>
        </w:r>
        <w:r>
          <w:rPr>
            <w:rStyle w:val="-"/>
            <w:rFonts w:cs="Times New Roman" w:ascii="Times New Roman" w:hAnsi="Times New Roman"/>
            <w:sz w:val="18"/>
            <w:szCs w:val="18"/>
          </w:rPr>
          <w:t>01.</w:t>
        </w:r>
        <w:r>
          <w:rPr>
            <w:rStyle w:val="-"/>
            <w:rFonts w:cs="Times New Roman" w:ascii="Times New Roman" w:hAnsi="Times New Roman"/>
            <w:sz w:val="18"/>
            <w:szCs w:val="18"/>
            <w:lang w:val="en-US"/>
          </w:rPr>
          <w:t>ru</w:t>
        </w:r>
        <w:r>
          <w:rPr>
            <w:rStyle w:val="-"/>
            <w:rFonts w:cs="Times New Roman" w:ascii="Times New Roman" w:hAnsi="Times New Roman"/>
            <w:sz w:val="18"/>
            <w:szCs w:val="18"/>
          </w:rPr>
          <w:t>/-/</w:t>
        </w:r>
        <w:r>
          <w:rPr>
            <w:rStyle w:val="-"/>
            <w:rFonts w:cs="Times New Roman" w:ascii="Times New Roman" w:hAnsi="Times New Roman"/>
            <w:sz w:val="18"/>
            <w:szCs w:val="18"/>
            <w:lang w:val="en-US"/>
          </w:rPr>
          <w:t>pz</w:t>
        </w:r>
      </w:hyperlink>
      <w:bookmarkEnd w:id="0"/>
    </w:p>
    <w:sectPr>
      <w:headerReference w:type="default" r:id="rId3"/>
      <w:type w:val="nextPage"/>
      <w:pgSz w:orient="landscape" w:w="16838" w:h="11906"/>
      <w:pgMar w:left="1191" w:right="1191" w:gutter="0" w:header="709" w:top="1758" w:footer="0" w:bottom="119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60941255"/>
    </w:sdtPr>
    <w:sdtContent>
      <w:p>
        <w:pPr>
          <w:pStyle w:val="Style31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cs="Times New Roman"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cs="Times New Roman" w:ascii="Times New Roman" w:hAnsi="Times New Roman"/>
          </w:rPr>
          <w:instrText xml:space="preserve"> PAGE </w:instrText>
        </w:r>
        <w:r>
          <w:rPr>
            <w:sz w:val="16"/>
            <w:szCs w:val="16"/>
            <w:rFonts w:cs="Times New Roman" w:ascii="Times New Roman" w:hAnsi="Times New Roman"/>
          </w:rPr>
          <w:fldChar w:fldCharType="separate"/>
        </w:r>
        <w:r>
          <w:rPr>
            <w:sz w:val="16"/>
            <w:szCs w:val="16"/>
            <w:rFonts w:cs="Times New Roman" w:ascii="Times New Roman" w:hAnsi="Times New Roman"/>
          </w:rPr>
          <w:t>4</w:t>
        </w:r>
        <w:r>
          <w:rPr>
            <w:sz w:val="16"/>
            <w:szCs w:val="16"/>
            <w:rFonts w:cs="Times New Roman" w:ascii="Times New Roman" w:hAnsi="Times New Roman"/>
          </w:rPr>
          <w:fldChar w:fldCharType="end"/>
        </w:r>
      </w:p>
    </w:sdtContent>
  </w:sdt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8" w:customStyle="1">
    <w:name w:val="Символ сноски"/>
    <w:qFormat/>
    <w:rPr>
      <w:vertAlign w:val="superscript"/>
    </w:rPr>
  </w:style>
  <w:style w:type="character" w:styleId="Style9">
    <w:name w:val="Footnote Reference"/>
    <w:rPr>
      <w:vertAlign w:val="superscript"/>
    </w:rPr>
  </w:style>
  <w:style w:type="character" w:styleId="Style10" w:customStyle="1">
    <w:name w:val="Текст концевой сноски Знак"/>
    <w:uiPriority w:val="99"/>
    <w:qFormat/>
    <w:rPr>
      <w:sz w:val="20"/>
    </w:rPr>
  </w:style>
  <w:style w:type="character" w:styleId="Style1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12">
    <w:name w:val="Endnote Reference"/>
    <w:rPr>
      <w:vertAlign w:val="superscript"/>
    </w:rPr>
  </w:style>
  <w:style w:type="character" w:styleId="Style13" w:customStyle="1">
    <w:name w:val="Верхний колонтитул Знак"/>
    <w:basedOn w:val="DefaultParagraphFont"/>
    <w:uiPriority w:val="99"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-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Pr>
      <w:b/>
      <w:bCs/>
      <w:sz w:val="20"/>
      <w:szCs w:val="20"/>
    </w:rPr>
  </w:style>
  <w:style w:type="character" w:styleId="Style18" w:customStyle="1">
    <w:name w:val="Текст сноски Знак"/>
    <w:basedOn w:val="DefaultParagraphFont"/>
    <w:uiPriority w:val="99"/>
    <w:qFormat/>
    <w:rPr>
      <w:sz w:val="20"/>
      <w:szCs w:val="20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9">
    <w:name w:val="FollowedHyperlink"/>
    <w:rPr>
      <w:color w:val="80000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5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6">
    <w:name w:val="Endnote Text"/>
    <w:basedOn w:val="Normal"/>
    <w:link w:val="Style1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7">
    <w:name w:val="Index Heading"/>
    <w:basedOn w:val="Style20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Style29">
    <w:name w:val="Title"/>
    <w:basedOn w:val="Normal"/>
    <w:next w:val="Style21"/>
    <w:link w:val="Style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30" w:customStyle="1">
    <w:name w:val="Колонтитул"/>
    <w:basedOn w:val="Normal"/>
    <w:qFormat/>
    <w:pPr/>
    <w:rPr/>
  </w:style>
  <w:style w:type="paragraph" w:styleId="Style31">
    <w:name w:val="Header"/>
    <w:basedOn w:val="Normal"/>
    <w:link w:val="Style13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Style14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6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pPr/>
    <w:rPr>
      <w:b/>
      <w:bCs/>
    </w:rPr>
  </w:style>
  <w:style w:type="paragraph" w:styleId="Style33">
    <w:name w:val="Footnote Text"/>
    <w:basedOn w:val="Normal"/>
    <w:link w:val="Style18"/>
    <w:uiPriority w:val="99"/>
    <w:unhideWhenUsed/>
    <w:pPr>
      <w:spacing w:lineRule="auto" w:line="240" w:before="0" w:after="0"/>
    </w:pPr>
    <w:rPr>
      <w:sz w:val="20"/>
      <w:szCs w:val="20"/>
    </w:rPr>
  </w:style>
  <w:style w:type="paragraph" w:styleId="Style34">
    <w:name w:val="Содержимое списка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aff4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mc.murman01.ru/-/p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F71B-6AEE-463A-8B4E-6272414B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LibreOffice/7.5.2.2$Windows_x86 LibreOffice_project/53bb9681a964705cf672590721dbc85eb4d0c3a2</Application>
  <AppVersion>15.0000</AppVersion>
  <Pages>5</Pages>
  <Words>852</Words>
  <Characters>6098</Characters>
  <CharactersWithSpaces>6877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2023-05-31T12:09:00Z</dcterms:created>
  <dc:creator>Кочетков Е. Л.</dc:creator>
  <dc:description>Пожалуйста, не изменяйте структуру таблицы. Предварительную заявку необходимо направить в Управление по ГОЧС и ПБ Мурманской области до 25.09.2023 по адресу info@murman01.ru 
Подробнее на https://umc.murman01.ru/-/pz</dc:description>
  <dc:language>ru-RU</dc:language>
  <cp:lastModifiedBy/>
  <dcterms:modified xsi:type="dcterms:W3CDTF">2023-05-31T15:12:43Z</dcterms:modified>
  <cp:revision>5</cp:revision>
  <dc:subject/>
  <dc:title/>
</cp:coreProperties>
</file>